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D60611" w:rsidRDefault="0089770F">
      <w:pPr>
        <w:rPr>
          <w:rFonts w:ascii="Times New Roman" w:hAnsi="Times New Roman" w:cs="Times New Roman"/>
          <w:sz w:val="24"/>
          <w:szCs w:val="24"/>
        </w:rPr>
      </w:pPr>
      <w:r w:rsidRPr="00D60611">
        <w:rPr>
          <w:rFonts w:ascii="Times New Roman" w:hAnsi="Times New Roman" w:cs="Times New Roman"/>
          <w:sz w:val="24"/>
          <w:szCs w:val="24"/>
        </w:rPr>
        <w:t xml:space="preserve">We use the </w:t>
      </w:r>
      <w:r w:rsidR="0092712B" w:rsidRPr="00D606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 w:rsidRPr="00D60611">
        <w:rPr>
          <w:rFonts w:ascii="Times New Roman" w:hAnsi="Times New Roman" w:cs="Times New Roman"/>
          <w:sz w:val="24"/>
          <w:szCs w:val="24"/>
        </w:rPr>
        <w:t>(2010)</w:t>
      </w:r>
      <w:r w:rsidRPr="00D60611">
        <w:rPr>
          <w:rFonts w:ascii="Times New Roman" w:hAnsi="Times New Roman" w:cs="Times New Roman"/>
          <w:sz w:val="24"/>
          <w:szCs w:val="24"/>
        </w:rPr>
        <w:t xml:space="preserve"> to format references.</w:t>
      </w:r>
    </w:p>
    <w:p w14:paraId="69F60DD0" w14:textId="15460EE6" w:rsidR="0092712B" w:rsidRPr="00D60611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D60611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 w:rsidRPr="00D6061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2712B" w:rsidRPr="00D60611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1E1011" w:rsidRPr="00D60611">
        <w:rPr>
          <w:rFonts w:ascii="Times New Roman" w:hAnsi="Times New Roman" w:cs="Times New Roman"/>
          <w:sz w:val="24"/>
          <w:szCs w:val="24"/>
        </w:rPr>
        <w:t>.</w:t>
      </w:r>
    </w:p>
    <w:p w14:paraId="053349AE" w14:textId="6C44A3AF" w:rsidR="00BE6CFE" w:rsidRPr="00D60611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11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 w:rsidRPr="00D606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OF BIBLIOGRAPHIC DESCRIPTION IN THE LIST OF CITED REFERENCES </w:t>
      </w:r>
      <w:r w:rsidRPr="00D606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A SCIENTIFIC ARTICLE </w:t>
      </w:r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 w:rsidRPr="00D60611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D606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D606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D6061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Source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D60611" w:rsidRDefault="00B724D7" w:rsidP="00125241">
            <w:pPr>
              <w:pStyle w:val="a9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D60611" w14:paraId="5194EB9F" w14:textId="77777777" w:rsidTr="0004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D606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D60611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796209A9" w14:textId="52A2FF77" w:rsidR="00EE4B26" w:rsidRPr="00D60611" w:rsidRDefault="00EE4B26" w:rsidP="003A5001">
            <w:pPr>
              <w:pStyle w:val="a9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58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Korotkykh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A.Yu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(2019).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Legal responsibility of civil servants under the labor legislation of Ukraine: Theory, practice, problems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Kharkiv: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Konstanta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4EB59" w14:textId="77777777" w:rsidR="008019BF" w:rsidRPr="00D60611" w:rsidRDefault="008019BF" w:rsidP="003A5001">
            <w:pPr>
              <w:pStyle w:val="a9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58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Chen, R. (2022).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Models of criminal procedure system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Singapore: Springer.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10.1007/978-981-19-3651-7.</w:t>
            </w:r>
          </w:p>
          <w:p w14:paraId="6EFF4207" w14:textId="08AD35CE" w:rsidR="00EE4B26" w:rsidRPr="00D60611" w:rsidRDefault="00440232" w:rsidP="00EE4B26">
            <w:pPr>
              <w:pStyle w:val="a9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58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Krahe, B. (2020).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The social psychology of aggression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(3rd ed). London: Routledge.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 10.4324/9780429466496.</w:t>
            </w:r>
          </w:p>
        </w:tc>
      </w:tr>
      <w:tr w:rsidR="00F640D0" w:rsidRPr="00CF7959" w14:paraId="4E4CA352" w14:textId="77777777" w:rsidTr="00CD64F8">
        <w:trPr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F640D0" w:rsidRPr="00D60611" w:rsidRDefault="00F640D0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74E50597" w:rsidR="00F640D0" w:rsidRPr="00D60611" w:rsidRDefault="00F640D0" w:rsidP="00CD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 and More Authors</w:t>
            </w:r>
          </w:p>
        </w:tc>
        <w:tc>
          <w:tcPr>
            <w:tcW w:w="7840" w:type="dxa"/>
          </w:tcPr>
          <w:p w14:paraId="26BF198E" w14:textId="2E9F7EAE" w:rsidR="00F640D0" w:rsidRPr="00D60611" w:rsidRDefault="000B3DF6" w:rsidP="00AA6869">
            <w:pPr>
              <w:pStyle w:val="a9"/>
              <w:numPr>
                <w:ilvl w:val="0"/>
                <w:numId w:val="2"/>
              </w:numPr>
              <w:spacing w:after="80" w:line="259" w:lineRule="auto"/>
              <w:ind w:left="400" w:hanging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Sutterlütti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, S., &amp; Meretz, S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>. (20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Make capitalism history</w:t>
            </w:r>
            <w:r w:rsidR="00F640D0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 practical framework for utopia and the transformation of society</w:t>
            </w:r>
            <w:r w:rsidR="00F640D0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Cham: Palgrave Macmillan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10.1007/978-3-031-14645-9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E2D28" w14:textId="6D093F3E" w:rsidR="00F640D0" w:rsidRPr="00D60611" w:rsidRDefault="00804109" w:rsidP="00AA6869">
            <w:pPr>
              <w:pStyle w:val="a9"/>
              <w:numPr>
                <w:ilvl w:val="0"/>
                <w:numId w:val="2"/>
              </w:numPr>
              <w:spacing w:after="80" w:line="259" w:lineRule="auto"/>
              <w:ind w:left="400" w:hanging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Novales, A., Fernández, E., &amp; Ruiz, J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 (202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2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Economic growth: Theory and numerical solution methods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Springer-Verlag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10.1007/978-3-662-63982-5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29ED7C5D" w:rsidR="00F640D0" w:rsidRPr="00D60611" w:rsidRDefault="00044CBD" w:rsidP="00CD64F8">
            <w:pPr>
              <w:pStyle w:val="a9"/>
              <w:numPr>
                <w:ilvl w:val="0"/>
                <w:numId w:val="2"/>
              </w:numPr>
              <w:spacing w:after="80" w:line="259" w:lineRule="auto"/>
              <w:ind w:left="400" w:hanging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Kiyimba, N., Buxton, C., Shuttleworth, J., &amp; Pathe, E.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BE"/>
              </w:rPr>
              <w:t xml:space="preserve">Discourses of </w:t>
            </w:r>
            <w:r w:rsidR="00CF7959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BE"/>
              </w:rPr>
              <w:t>psychological trauma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.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Cham:</w:t>
            </w:r>
            <w:r w:rsidR="00804109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Palgrave Macmillan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. doi: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10.1007/978-3-031-07711-1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</w:tr>
      <w:tr w:rsidR="00125241" w:rsidRPr="00D60611" w14:paraId="7AC11942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D60611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253C110F" w14:textId="41B6ACDD" w:rsidR="00100D32" w:rsidRPr="00D60611" w:rsidRDefault="00FA56A6" w:rsidP="00CD64F8">
            <w:pPr>
              <w:pStyle w:val="a9"/>
              <w:numPr>
                <w:ilvl w:val="0"/>
                <w:numId w:val="6"/>
              </w:numPr>
              <w:spacing w:after="80"/>
              <w:ind w:left="458" w:hanging="45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Hilpold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, P. (Ed.)</w:t>
            </w:r>
            <w:r w:rsidR="00AA3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European international law traditions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Cham: Springer.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10.1007/978-3-030-52028-1_1</w:t>
            </w:r>
            <w:r w:rsidR="00100D32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8A785" w14:textId="73D7A320" w:rsidR="009F4B9C" w:rsidRPr="00D60611" w:rsidRDefault="00FA56A6" w:rsidP="00C64876">
            <w:pPr>
              <w:pStyle w:val="a9"/>
              <w:numPr>
                <w:ilvl w:val="0"/>
                <w:numId w:val="6"/>
              </w:numPr>
              <w:spacing w:after="80"/>
              <w:ind w:left="458" w:hanging="45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Terjesen, M.D., &amp; Doyle, K.A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>. (Eds.). (202</w:t>
            </w:r>
            <w:r w:rsidR="000D4DDB" w:rsidRPr="00D6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  <w:t>Cognitive behavioral therapy in a global context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Cham: Springer. </w:t>
            </w:r>
            <w:proofErr w:type="spellStart"/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>10.1007/978-3-030-82555-3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2D5921" w14:textId="127AD493" w:rsidR="0085760C" w:rsidRPr="00D60611" w:rsidRDefault="00FD6911" w:rsidP="00CD64F8">
            <w:pPr>
              <w:pStyle w:val="a9"/>
              <w:numPr>
                <w:ilvl w:val="0"/>
                <w:numId w:val="6"/>
              </w:numPr>
              <w:spacing w:after="80"/>
              <w:ind w:left="458" w:hanging="45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Andrews, J.J., Shaw, S.R., Domene, J.F., &amp; McMorris, C. (Eds.).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Mental health assessment, prevention, and intervention: Promoting child and youth well-being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Cham: Springer.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10.1007/978-3-030-97208-0_2.</w:t>
            </w:r>
          </w:p>
        </w:tc>
      </w:tr>
      <w:tr w:rsidR="00A12BAE" w:rsidRPr="00D60611" w14:paraId="0D91A42D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D60611" w:rsidRDefault="00CE4C9F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5506FEE5" w14:textId="44B67C77" w:rsidR="004117E9" w:rsidRPr="00453AB8" w:rsidRDefault="00453AB8" w:rsidP="00E55091">
            <w:pPr>
              <w:pStyle w:val="a9"/>
              <w:numPr>
                <w:ilvl w:val="0"/>
                <w:numId w:val="8"/>
              </w:numPr>
              <w:spacing w:after="80"/>
              <w:ind w:left="458" w:hanging="45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 xml:space="preserve">Bows, H. (Ed.). (2019). </w:t>
            </w:r>
            <w:r w:rsidRPr="00453AB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Violence against older women</w:t>
            </w: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 xml:space="preserve"> (Vol. </w:t>
            </w:r>
            <w:r w:rsidRPr="00453A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II). </w:t>
            </w: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>Basingstoke</w:t>
            </w:r>
            <w:r w:rsidRPr="00453A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 Palgrave Macmillan. doi: 10.1007/978-3-030-16597-0.</w:t>
            </w:r>
            <w:r w:rsidR="004117E9" w:rsidRPr="00453A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  <w:p w14:paraId="39DA5FAB" w14:textId="165D2958" w:rsidR="000D1B57" w:rsidRPr="00D60611" w:rsidRDefault="000D1B57" w:rsidP="00C503ED">
            <w:pPr>
              <w:pStyle w:val="a9"/>
              <w:numPr>
                <w:ilvl w:val="0"/>
                <w:numId w:val="8"/>
              </w:numPr>
              <w:spacing w:after="80"/>
              <w:ind w:left="458" w:hanging="45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China Institute of Applied Jurisprudence. (Ed.).</w:t>
            </w:r>
            <w:r w:rsidR="004117E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(2021).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Selected cases from the Supreme People’s Court of the People’s Republic of China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(Vol. 2). Singapore: Springer.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10.1007/978-981-15-9136-5.</w:t>
            </w:r>
          </w:p>
          <w:p w14:paraId="53415CCA" w14:textId="343A9538" w:rsidR="004117E9" w:rsidRPr="00D60611" w:rsidRDefault="004117E9" w:rsidP="004117E9">
            <w:pPr>
              <w:pStyle w:val="a9"/>
              <w:numPr>
                <w:ilvl w:val="0"/>
                <w:numId w:val="8"/>
              </w:numPr>
              <w:spacing w:after="80"/>
              <w:ind w:left="458" w:hanging="45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Ivanov,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Yu.F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Kurylina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O.V., &amp; Ivanova, M.V. (2019).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Civil law of Ukraine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(2nd ed.; Vol. 1). Kyiv: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Alerta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241" w:rsidRPr="00D60611" w14:paraId="12985C15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6FF3D239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27AC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hapter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in a </w:t>
            </w:r>
            <w:r w:rsidR="00ED324E" w:rsidRPr="00D6061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0185BC58" w14:textId="4A8BBF7A" w:rsidR="006C42A7" w:rsidRPr="00D60611" w:rsidRDefault="00777004" w:rsidP="00827AC0">
            <w:pPr>
              <w:pStyle w:val="a9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Bittar, E.C.B. (2021). Society, law and art.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Semiotics, Law &amp; Art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(pp. 51-69). Cham: Springer.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10.1007/978-3-030-58880-9_3.</w:t>
            </w:r>
          </w:p>
          <w:p w14:paraId="6E3D91F8" w14:textId="2759076A" w:rsidR="007675A6" w:rsidRPr="00D60611" w:rsidRDefault="007675A6" w:rsidP="00827AC0">
            <w:pPr>
              <w:pStyle w:val="a9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Black, I.S., &amp; Fennelly, L.J. (2021). Interviewing the victim.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Investigations and the </w:t>
            </w:r>
            <w:r w:rsidR="0086280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art of the interview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(4th ed.; pp. 101-105). 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Oxford: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Butterworth-Heinemann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1D7E252F" w:rsidR="00125241" w:rsidRPr="00D60611" w:rsidRDefault="002B6CCD" w:rsidP="00862801">
            <w:pPr>
              <w:pStyle w:val="a9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Horswill, S.C., &amp; Carleton, R.N. (2021). Changes in our understanding of trauma and the human psyche as a consequence of war: A brief history. In S.C. Horswill, &amp; R.N. Carleton (Eds.),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Handbook of posttraumatic stress: Psychosocial, cultural, and biological perspectives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(pp. 15-37). New York: Routledge.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10.4324/9781351134637-2.</w:t>
            </w:r>
          </w:p>
        </w:tc>
      </w:tr>
      <w:tr w:rsidR="00ED324E" w:rsidRPr="00D60611" w14:paraId="6F5CB847" w14:textId="77777777" w:rsidTr="000F3F1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D60611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Conference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5337C216" w:rsidR="00ED324E" w:rsidRPr="00D60611" w:rsidRDefault="001E5673" w:rsidP="00A27624">
            <w:pPr>
              <w:pStyle w:val="a9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Lockhart, E.N.S. (2022). Motivation and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cognitive-behavioral factors in problematic online gaming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Hunt,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L.M.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Tan (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Applied </w:t>
            </w:r>
            <w:r w:rsidR="00A7357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psychology readings: </w:t>
            </w:r>
            <w:r w:rsidR="00F21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A7357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elected papers from the Singapore conference on applied psychology 2021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(pp. 67-115)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Singapore: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Springer. https://doi.org/10.1007/978-981-19-5086-5_4</w:t>
            </w:r>
            <w:r w:rsidR="00430D4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BFB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ECB5E" w14:textId="12D803C8" w:rsidR="00BD08F5" w:rsidRPr="00D60611" w:rsidRDefault="00862801" w:rsidP="00DD5BFB">
            <w:pPr>
              <w:pStyle w:val="a9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Bohdanets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A.V. (2020). The ratio of the </w:t>
            </w:r>
            <w:proofErr w:type="gram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categories</w:t>
            </w:r>
            <w:proofErr w:type="gram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“protection” and “protection” of the labor rights of employees.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Actual problems of reforming legislation on labor and in the field of social protection: </w:t>
            </w:r>
            <w:r w:rsidR="00F21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aterials of a scientific and practical seminar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(pp. 18-20). Lviv: Lviv State University of Internal Affairs</w:t>
            </w:r>
            <w:r w:rsidR="00DD5BFB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3DC8F067" w14:textId="42759C6B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D60611" w:rsidRDefault="00BC4444" w:rsidP="00BC4444">
            <w:pPr>
              <w:pStyle w:val="a9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="00581357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02C654C0" w:rsidR="00BC4444" w:rsidRPr="00D60611" w:rsidRDefault="0080586B" w:rsidP="003827AC">
            <w:pPr>
              <w:pStyle w:val="a9"/>
              <w:numPr>
                <w:ilvl w:val="0"/>
                <w:numId w:val="13"/>
              </w:numPr>
              <w:spacing w:after="80"/>
              <w:ind w:left="316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Brechko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O. (2020). Determinants of digital transformation of the national economy.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Bulletin of the Ternopil National Economic University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4, 7-24. </w:t>
            </w: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: 10.35774/visnyk2020.04.007</w:t>
            </w:r>
            <w:r w:rsidR="00762EDD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1EE83" w14:textId="123F71FA" w:rsidR="00BC4444" w:rsidRPr="00D60611" w:rsidRDefault="006F108C" w:rsidP="003827AC">
            <w:pPr>
              <w:pStyle w:val="a9"/>
              <w:numPr>
                <w:ilvl w:val="0"/>
                <w:numId w:val="13"/>
              </w:numPr>
              <w:spacing w:after="80"/>
              <w:ind w:left="316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Dragan, O.V., </w:t>
            </w:r>
            <w:proofErr w:type="spellStart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Yermakova</w:t>
            </w:r>
            <w:proofErr w:type="spellEnd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G.S., </w:t>
            </w:r>
            <w:proofErr w:type="spellStart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Chvaliuk</w:t>
            </w:r>
            <w:proofErr w:type="spellEnd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A.M., Kurchin, O.G., &amp; </w:t>
            </w:r>
            <w:proofErr w:type="spellStart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Karagodin</w:t>
            </w:r>
            <w:proofErr w:type="spellEnd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O.V. (2020). Psychological aspects of corruption in public administration: Case-study of Ukraine. </w:t>
            </w:r>
            <w:r w:rsidRPr="00D6061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Academic Journal of Interdisciplinary Studies</w:t>
            </w:r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9(6), 264-277. </w:t>
            </w:r>
            <w:proofErr w:type="spellStart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 10.36941/ajis-2020-0130.</w:t>
            </w:r>
          </w:p>
          <w:p w14:paraId="34FE9501" w14:textId="67B0B0A1" w:rsidR="00BC4444" w:rsidRPr="00D60611" w:rsidRDefault="00A12BAE" w:rsidP="003827AC">
            <w:pPr>
              <w:spacing w:after="80"/>
              <w:ind w:left="311" w:hanging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Surzykiewicz</w:t>
            </w:r>
            <w:proofErr w:type="spellEnd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J., Skalski, S.B., </w:t>
            </w:r>
            <w:proofErr w:type="spellStart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Niesiobędzka</w:t>
            </w:r>
            <w:proofErr w:type="spellEnd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M., </w:t>
            </w:r>
            <w:proofErr w:type="spellStart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Gladysh</w:t>
            </w:r>
            <w:proofErr w:type="spellEnd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O., &amp; </w:t>
            </w:r>
            <w:proofErr w:type="spellStart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Konaszewski</w:t>
            </w:r>
            <w:proofErr w:type="spellEnd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K. (2022). Brief screening measures of mental health for war-related dysfunctional anxiety and negative persistent thinking. </w:t>
            </w:r>
            <w:r w:rsidR="00106583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Personality and Individual Differences</w:t>
            </w:r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195, article number 111697. </w:t>
            </w:r>
            <w:proofErr w:type="spellStart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: 10.1016/j.paid.2022.111697</w:t>
            </w:r>
            <w:r w:rsidR="00762EDD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0AFC2F53" w14:textId="77777777" w:rsidTr="000F3F14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4A2334F8" w:rsidR="00BC4444" w:rsidRPr="00D60611" w:rsidRDefault="005E644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PhD and </w:t>
            </w:r>
            <w:r w:rsidR="00BC4444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15A5099D" w:rsidR="00BD08F5" w:rsidRPr="00D60611" w:rsidRDefault="00AF5EFB" w:rsidP="003827AC">
            <w:pPr>
              <w:pStyle w:val="a9"/>
              <w:numPr>
                <w:ilvl w:val="0"/>
                <w:numId w:val="16"/>
              </w:numPr>
              <w:spacing w:after="80"/>
              <w:ind w:left="316" w:hanging="316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Frawley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>. (20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1CC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decision to comply with workplace law: A mixed-methods investigation of human resource practitioners 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(PhD thesis,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York University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Toronto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D484ED" w14:textId="179E33C0" w:rsidR="00BC4444" w:rsidRPr="00D60611" w:rsidRDefault="00440232" w:rsidP="003827AC">
            <w:pPr>
              <w:pStyle w:val="a9"/>
              <w:numPr>
                <w:ilvl w:val="0"/>
                <w:numId w:val="16"/>
              </w:numPr>
              <w:spacing w:after="80"/>
              <w:ind w:left="316" w:hanging="316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Bortnyk</w:t>
            </w:r>
            <w:proofErr w:type="spellEnd"/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S.M. (2018).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Problems of legal regulation of labor rights of police officers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(Doctoral thesis, Kharkiv National University of Internal Affairs, Kharkiv, Ukraine)</w:t>
            </w:r>
            <w:r w:rsidR="005E6445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D60611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6C0351AF" w14:textId="77777777" w:rsidR="00ED34C9" w:rsidRPr="00D60611" w:rsidRDefault="00BC4444" w:rsidP="00D60611">
            <w:pPr>
              <w:pStyle w:val="a9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June). Retrieved from </w:t>
            </w:r>
            <w:hyperlink r:id="rId8" w:anchor="Text" w:history="1">
              <w:r w:rsidR="00ED34C9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https://zakon.rada.gov.ua/laws/show/254к/96-вр#Text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F1047" w14:textId="0C4125B4" w:rsidR="00ED34C9" w:rsidRPr="00D60611" w:rsidRDefault="001D4B3C" w:rsidP="00D60611">
            <w:pPr>
              <w:pStyle w:val="a9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580-VIII “On the National Police”. (2015, July). Retrieved from </w:t>
            </w:r>
            <w:hyperlink r:id="rId9" w:anchor="Text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https://zakon.rada.gov.ua/laws/show/580-19#Text</w:t>
              </w:r>
            </w:hyperlink>
            <w:r w:rsidR="00ED34C9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62C910BC" w:rsidR="00BD08F5" w:rsidRPr="00D60611" w:rsidRDefault="00D54E99" w:rsidP="00D60611">
            <w:pPr>
              <w:pStyle w:val="a9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Resolution of the Cabinet of Ministers of Ukraine 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500 “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Approval of the Regulation on the National Agency of Ukraine on Civil Service Issues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>. (2014, January). Retrieved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hyperlink r:id="rId10" w:anchor="Text" w:history="1">
              <w:r w:rsidR="005B5A70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https://zakon.rada.gov.ua/laws/show/500-2014-%D0%BF#Text</w:t>
              </w:r>
            </w:hyperlink>
            <w:r w:rsidR="00CD4BDA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35B30" w14:textId="49F236B6" w:rsidR="005B5A70" w:rsidRPr="00D60611" w:rsidRDefault="005B5A70" w:rsidP="00D60611">
            <w:pPr>
              <w:pStyle w:val="a9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Decree of the President of Ukraine No. 392/2020 “On the Decision of the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National Security Strategy of Ukraine”. (2020, September). Retrieved from </w:t>
            </w:r>
            <w:hyperlink r:id="rId11" w:anchor="n7" w:history="1">
              <w:r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https://zakon.rada.gov.ua/laws/show/392/2020#n7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6531D631" w:rsidR="00846152" w:rsidRPr="00D60611" w:rsidRDefault="00846152" w:rsidP="00D60611">
            <w:pPr>
              <w:pStyle w:val="a9"/>
              <w:numPr>
                <w:ilvl w:val="0"/>
                <w:numId w:val="25"/>
              </w:numPr>
              <w:spacing w:after="80"/>
              <w:ind w:left="294" w:hanging="2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Draft Law of Ukraine </w:t>
            </w:r>
            <w:r w:rsidR="00D6061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No. 6074 “On Amendments to the Law of Ukraine ‘On Prevention and Counteraction to Domestic Violence’ on Improving the Mechanism of Prevention and Counteraction to Domestic Violence”. (2021, September). Retrieved from </w:t>
            </w:r>
            <w:hyperlink r:id="rId12">
              <w:r w:rsidR="00D60611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http://w1.c1.rada.gov.ua/pls/zweb2/webproc4_1?pf3511=72800</w:t>
              </w:r>
            </w:hyperlink>
            <w:r w:rsidR="00D6061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D60611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Webpage</w:t>
            </w:r>
          </w:p>
        </w:tc>
        <w:tc>
          <w:tcPr>
            <w:tcW w:w="7840" w:type="dxa"/>
          </w:tcPr>
          <w:p w14:paraId="03ECE175" w14:textId="2F451080" w:rsidR="002B6CCD" w:rsidRPr="00D60611" w:rsidRDefault="002B6CCD" w:rsidP="0022412D">
            <w:pPr>
              <w:numPr>
                <w:ilvl w:val="0"/>
                <w:numId w:val="22"/>
              </w:numPr>
              <w:tabs>
                <w:tab w:val="left" w:pos="426"/>
                <w:tab w:val="left" w:pos="567"/>
                <w:tab w:val="left" w:pos="11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Hasanova, L. (2022).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Frustration – what it is and why such a feeling arises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Retrieved from </w:t>
            </w:r>
            <w:hyperlink r:id="rId13" w:history="1">
              <w:r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https://healthcenter.od.ua/2022/01/28/frustracziya-shho-cze-take-ta-chomu-vynykae-podibne-pochuttya/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26211" w14:textId="61F93E21" w:rsidR="00AE7C3E" w:rsidRPr="00D60611" w:rsidRDefault="0022412D" w:rsidP="0022412D">
            <w:pPr>
              <w:pStyle w:val="a9"/>
              <w:numPr>
                <w:ilvl w:val="0"/>
                <w:numId w:val="22"/>
              </w:numPr>
              <w:tabs>
                <w:tab w:val="left" w:pos="426"/>
                <w:tab w:val="left" w:pos="567"/>
                <w:tab w:val="left" w:pos="1134"/>
              </w:tabs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60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Ministry of Social Policy of Ukraine. (2022). </w:t>
            </w:r>
            <w:r w:rsidRPr="00D606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 two years, Ukraine rose to 32 positions in the global ranking according to the index of social progress</w:t>
            </w:r>
            <w:r w:rsidRPr="00D60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Retrieved from </w:t>
            </w:r>
            <w:hyperlink r:id="rId14" w:history="1">
              <w:r w:rsidR="00D60611" w:rsidRPr="00E97A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https://www.kmu.gov.ua/news/ukrayina-za-dva-roki-pidnyalas-na-32-poziciyi-v-globalnomu-rejtingu-za-indeksom-socialnogo-progresu-minsocpolitiki</w:t>
              </w:r>
            </w:hyperlink>
            <w:r w:rsidR="00AE7C3E" w:rsidRPr="00D6061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7F68521" w14:textId="213E9F2F" w:rsidR="00FA07F9" w:rsidRPr="00D60611" w:rsidRDefault="00FA07F9" w:rsidP="0022412D">
            <w:pPr>
              <w:pStyle w:val="a9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Official website of the Ministry of Finance of Ukraine. (n.d.). Retrieved from </w:t>
            </w:r>
            <w:hyperlink r:id="rId15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https://www.mof.gov.ua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5C9DE2A9" w:rsidR="00BC4444" w:rsidRPr="00D60611" w:rsidRDefault="0022412D" w:rsidP="0022412D">
            <w:pPr>
              <w:pStyle w:val="a9"/>
              <w:numPr>
                <w:ilvl w:val="0"/>
                <w:numId w:val="22"/>
              </w:num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Perception of corruption, level of happiness, strength of the army: How Ukraine’s place in the rankings changed. (2022). Retrieved from </w:t>
            </w:r>
            <w:hyperlink r:id="rId16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https://www.slovoidilo.ua/2022/02/08/infografika/suspilstvo/spryjnyattya-korupcziyi-riven-shhastya-potuzhnist-armiyi-yak-zminyuvalosya-misce-ukrayiny-rejtynhax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BF0C4F" w14:textId="77777777" w:rsidR="0092712B" w:rsidRPr="00D606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D606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B0E99" w14:textId="77777777" w:rsidR="002A7F73" w:rsidRDefault="002A7F73" w:rsidP="0092712B">
      <w:pPr>
        <w:spacing w:after="0" w:line="240" w:lineRule="auto"/>
      </w:pPr>
      <w:r>
        <w:separator/>
      </w:r>
    </w:p>
  </w:endnote>
  <w:endnote w:type="continuationSeparator" w:id="0">
    <w:p w14:paraId="71C9870F" w14:textId="77777777" w:rsidR="002A7F73" w:rsidRDefault="002A7F73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D585A" w14:textId="77777777" w:rsidR="002A7F73" w:rsidRDefault="002A7F73" w:rsidP="0092712B">
      <w:pPr>
        <w:spacing w:after="0" w:line="240" w:lineRule="auto"/>
      </w:pPr>
      <w:r>
        <w:separator/>
      </w:r>
    </w:p>
  </w:footnote>
  <w:footnote w:type="continuationSeparator" w:id="0">
    <w:p w14:paraId="3CD8AB31" w14:textId="77777777" w:rsidR="002A7F73" w:rsidRDefault="002A7F73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2EF083D"/>
    <w:multiLevelType w:val="hybridMultilevel"/>
    <w:tmpl w:val="BC5E08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AD7"/>
    <w:multiLevelType w:val="multilevel"/>
    <w:tmpl w:val="0BF4E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2995"/>
    <w:multiLevelType w:val="multilevel"/>
    <w:tmpl w:val="D5B06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45B6C"/>
    <w:multiLevelType w:val="hybridMultilevel"/>
    <w:tmpl w:val="24122A30"/>
    <w:lvl w:ilvl="0" w:tplc="FEE65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63CADA22" w:tentative="1">
      <w:start w:val="1"/>
      <w:numFmt w:val="lowerLetter"/>
      <w:lvlText w:val="%2."/>
      <w:lvlJc w:val="left"/>
      <w:pPr>
        <w:ind w:left="1440" w:hanging="360"/>
      </w:pPr>
    </w:lvl>
    <w:lvl w:ilvl="2" w:tplc="081C6F72" w:tentative="1">
      <w:start w:val="1"/>
      <w:numFmt w:val="lowerRoman"/>
      <w:lvlText w:val="%3."/>
      <w:lvlJc w:val="right"/>
      <w:pPr>
        <w:ind w:left="2160" w:hanging="180"/>
      </w:pPr>
    </w:lvl>
    <w:lvl w:ilvl="3" w:tplc="C346EF60" w:tentative="1">
      <w:start w:val="1"/>
      <w:numFmt w:val="decimal"/>
      <w:lvlText w:val="%4."/>
      <w:lvlJc w:val="left"/>
      <w:pPr>
        <w:ind w:left="2880" w:hanging="360"/>
      </w:pPr>
    </w:lvl>
    <w:lvl w:ilvl="4" w:tplc="D83E47A0" w:tentative="1">
      <w:start w:val="1"/>
      <w:numFmt w:val="lowerLetter"/>
      <w:lvlText w:val="%5."/>
      <w:lvlJc w:val="left"/>
      <w:pPr>
        <w:ind w:left="3600" w:hanging="360"/>
      </w:pPr>
    </w:lvl>
    <w:lvl w:ilvl="5" w:tplc="2AA6945E" w:tentative="1">
      <w:start w:val="1"/>
      <w:numFmt w:val="lowerRoman"/>
      <w:lvlText w:val="%6."/>
      <w:lvlJc w:val="right"/>
      <w:pPr>
        <w:ind w:left="4320" w:hanging="180"/>
      </w:pPr>
    </w:lvl>
    <w:lvl w:ilvl="6" w:tplc="81341260" w:tentative="1">
      <w:start w:val="1"/>
      <w:numFmt w:val="decimal"/>
      <w:lvlText w:val="%7."/>
      <w:lvlJc w:val="left"/>
      <w:pPr>
        <w:ind w:left="5040" w:hanging="360"/>
      </w:pPr>
    </w:lvl>
    <w:lvl w:ilvl="7" w:tplc="5C104D58" w:tentative="1">
      <w:start w:val="1"/>
      <w:numFmt w:val="lowerLetter"/>
      <w:lvlText w:val="%8."/>
      <w:lvlJc w:val="left"/>
      <w:pPr>
        <w:ind w:left="5760" w:hanging="360"/>
      </w:pPr>
    </w:lvl>
    <w:lvl w:ilvl="8" w:tplc="9504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D6DA7"/>
    <w:multiLevelType w:val="multilevel"/>
    <w:tmpl w:val="E4D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C5EEC"/>
    <w:multiLevelType w:val="hybridMultilevel"/>
    <w:tmpl w:val="A99C51E6"/>
    <w:lvl w:ilvl="0" w:tplc="7EAE7C94">
      <w:start w:val="1"/>
      <w:numFmt w:val="decimal"/>
      <w:lvlText w:val="[%1]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7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517042">
    <w:abstractNumId w:val="6"/>
  </w:num>
  <w:num w:numId="2" w16cid:durableId="1999190215">
    <w:abstractNumId w:val="22"/>
  </w:num>
  <w:num w:numId="3" w16cid:durableId="1887329879">
    <w:abstractNumId w:val="19"/>
  </w:num>
  <w:num w:numId="4" w16cid:durableId="1607927775">
    <w:abstractNumId w:val="12"/>
  </w:num>
  <w:num w:numId="5" w16cid:durableId="2035377131">
    <w:abstractNumId w:val="25"/>
  </w:num>
  <w:num w:numId="6" w16cid:durableId="536085095">
    <w:abstractNumId w:val="9"/>
  </w:num>
  <w:num w:numId="7" w16cid:durableId="1020399005">
    <w:abstractNumId w:val="2"/>
  </w:num>
  <w:num w:numId="8" w16cid:durableId="1372222749">
    <w:abstractNumId w:val="7"/>
  </w:num>
  <w:num w:numId="9" w16cid:durableId="1406340343">
    <w:abstractNumId w:val="8"/>
  </w:num>
  <w:num w:numId="10" w16cid:durableId="723674836">
    <w:abstractNumId w:val="17"/>
  </w:num>
  <w:num w:numId="11" w16cid:durableId="581329610">
    <w:abstractNumId w:val="0"/>
  </w:num>
  <w:num w:numId="12" w16cid:durableId="520702003">
    <w:abstractNumId w:val="24"/>
  </w:num>
  <w:num w:numId="13" w16cid:durableId="318315220">
    <w:abstractNumId w:val="4"/>
  </w:num>
  <w:num w:numId="14" w16cid:durableId="1166674134">
    <w:abstractNumId w:val="27"/>
  </w:num>
  <w:num w:numId="15" w16cid:durableId="1967226062">
    <w:abstractNumId w:val="1"/>
  </w:num>
  <w:num w:numId="16" w16cid:durableId="518469060">
    <w:abstractNumId w:val="11"/>
  </w:num>
  <w:num w:numId="17" w16cid:durableId="688915116">
    <w:abstractNumId w:val="13"/>
  </w:num>
  <w:num w:numId="18" w16cid:durableId="2132549001">
    <w:abstractNumId w:val="5"/>
  </w:num>
  <w:num w:numId="19" w16cid:durableId="932471071">
    <w:abstractNumId w:val="16"/>
  </w:num>
  <w:num w:numId="20" w16cid:durableId="300615990">
    <w:abstractNumId w:val="3"/>
  </w:num>
  <w:num w:numId="21" w16cid:durableId="2069379507">
    <w:abstractNumId w:val="28"/>
  </w:num>
  <w:num w:numId="22" w16cid:durableId="107969772">
    <w:abstractNumId w:val="10"/>
  </w:num>
  <w:num w:numId="23" w16cid:durableId="1352411767">
    <w:abstractNumId w:val="20"/>
  </w:num>
  <w:num w:numId="24" w16cid:durableId="1571505234">
    <w:abstractNumId w:val="21"/>
  </w:num>
  <w:num w:numId="25" w16cid:durableId="532109175">
    <w:abstractNumId w:val="26"/>
  </w:num>
  <w:num w:numId="26" w16cid:durableId="1308783009">
    <w:abstractNumId w:val="18"/>
  </w:num>
  <w:num w:numId="27" w16cid:durableId="985473629">
    <w:abstractNumId w:val="14"/>
  </w:num>
  <w:num w:numId="28" w16cid:durableId="875460875">
    <w:abstractNumId w:val="23"/>
  </w:num>
  <w:num w:numId="29" w16cid:durableId="305546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706"/>
    <w:rsid w:val="000147EF"/>
    <w:rsid w:val="0004173B"/>
    <w:rsid w:val="00044CBD"/>
    <w:rsid w:val="00045389"/>
    <w:rsid w:val="00050FC5"/>
    <w:rsid w:val="000551ED"/>
    <w:rsid w:val="000647C3"/>
    <w:rsid w:val="000671CC"/>
    <w:rsid w:val="000B3DF6"/>
    <w:rsid w:val="000B40FC"/>
    <w:rsid w:val="000D1B57"/>
    <w:rsid w:val="000D4DDB"/>
    <w:rsid w:val="000E2E3B"/>
    <w:rsid w:val="000F3F14"/>
    <w:rsid w:val="000F7EAF"/>
    <w:rsid w:val="00100D32"/>
    <w:rsid w:val="00106583"/>
    <w:rsid w:val="00125241"/>
    <w:rsid w:val="00143E3E"/>
    <w:rsid w:val="00161312"/>
    <w:rsid w:val="00171606"/>
    <w:rsid w:val="00172975"/>
    <w:rsid w:val="001861F3"/>
    <w:rsid w:val="00195DCB"/>
    <w:rsid w:val="001B0449"/>
    <w:rsid w:val="001B29ED"/>
    <w:rsid w:val="001D4B3C"/>
    <w:rsid w:val="001E1011"/>
    <w:rsid w:val="001E5673"/>
    <w:rsid w:val="0022412D"/>
    <w:rsid w:val="00226780"/>
    <w:rsid w:val="0028705E"/>
    <w:rsid w:val="00287361"/>
    <w:rsid w:val="002A7F73"/>
    <w:rsid w:val="002B6CCD"/>
    <w:rsid w:val="002C1974"/>
    <w:rsid w:val="002D5724"/>
    <w:rsid w:val="002E530E"/>
    <w:rsid w:val="00313EBF"/>
    <w:rsid w:val="00321711"/>
    <w:rsid w:val="00342177"/>
    <w:rsid w:val="003656C7"/>
    <w:rsid w:val="003672DB"/>
    <w:rsid w:val="00370672"/>
    <w:rsid w:val="003827AC"/>
    <w:rsid w:val="00396CD0"/>
    <w:rsid w:val="00396D09"/>
    <w:rsid w:val="003A2B0A"/>
    <w:rsid w:val="003A314A"/>
    <w:rsid w:val="003A5001"/>
    <w:rsid w:val="003A7DE7"/>
    <w:rsid w:val="003D4AD4"/>
    <w:rsid w:val="0040477A"/>
    <w:rsid w:val="004117E9"/>
    <w:rsid w:val="00430D41"/>
    <w:rsid w:val="00440232"/>
    <w:rsid w:val="00440815"/>
    <w:rsid w:val="00453AB8"/>
    <w:rsid w:val="004761BA"/>
    <w:rsid w:val="0048568B"/>
    <w:rsid w:val="00497263"/>
    <w:rsid w:val="004A2569"/>
    <w:rsid w:val="004E43BF"/>
    <w:rsid w:val="004E7F7F"/>
    <w:rsid w:val="004F7479"/>
    <w:rsid w:val="00515786"/>
    <w:rsid w:val="00553A31"/>
    <w:rsid w:val="00564FB2"/>
    <w:rsid w:val="00581357"/>
    <w:rsid w:val="00595F00"/>
    <w:rsid w:val="005A25AD"/>
    <w:rsid w:val="005B5A70"/>
    <w:rsid w:val="005E3126"/>
    <w:rsid w:val="005E6445"/>
    <w:rsid w:val="005F60BE"/>
    <w:rsid w:val="00630D32"/>
    <w:rsid w:val="00643F13"/>
    <w:rsid w:val="00677DA6"/>
    <w:rsid w:val="00681656"/>
    <w:rsid w:val="00693E4D"/>
    <w:rsid w:val="006A4118"/>
    <w:rsid w:val="006C42A7"/>
    <w:rsid w:val="006D116F"/>
    <w:rsid w:val="006F108C"/>
    <w:rsid w:val="0074675A"/>
    <w:rsid w:val="00762EDD"/>
    <w:rsid w:val="007675A6"/>
    <w:rsid w:val="007764D6"/>
    <w:rsid w:val="00777004"/>
    <w:rsid w:val="00787AFB"/>
    <w:rsid w:val="00787C7A"/>
    <w:rsid w:val="007A19B0"/>
    <w:rsid w:val="007A4EDE"/>
    <w:rsid w:val="008019BF"/>
    <w:rsid w:val="00804109"/>
    <w:rsid w:val="0080586B"/>
    <w:rsid w:val="008079CB"/>
    <w:rsid w:val="00827AC0"/>
    <w:rsid w:val="00844C67"/>
    <w:rsid w:val="00846152"/>
    <w:rsid w:val="0085760C"/>
    <w:rsid w:val="00862801"/>
    <w:rsid w:val="008948F7"/>
    <w:rsid w:val="0089770F"/>
    <w:rsid w:val="008A1A39"/>
    <w:rsid w:val="008B15B5"/>
    <w:rsid w:val="008B1A55"/>
    <w:rsid w:val="008C2356"/>
    <w:rsid w:val="008C698C"/>
    <w:rsid w:val="00902868"/>
    <w:rsid w:val="0090774A"/>
    <w:rsid w:val="00916FD1"/>
    <w:rsid w:val="00925D8A"/>
    <w:rsid w:val="0092712B"/>
    <w:rsid w:val="009411D8"/>
    <w:rsid w:val="00996AD8"/>
    <w:rsid w:val="009C3359"/>
    <w:rsid w:val="009F4B9C"/>
    <w:rsid w:val="00A12BAE"/>
    <w:rsid w:val="00A17F9E"/>
    <w:rsid w:val="00A230DE"/>
    <w:rsid w:val="00A27624"/>
    <w:rsid w:val="00A350CB"/>
    <w:rsid w:val="00A73571"/>
    <w:rsid w:val="00A7435C"/>
    <w:rsid w:val="00AA3B88"/>
    <w:rsid w:val="00AA6869"/>
    <w:rsid w:val="00AC2710"/>
    <w:rsid w:val="00AD233F"/>
    <w:rsid w:val="00AD5908"/>
    <w:rsid w:val="00AD7390"/>
    <w:rsid w:val="00AE7C3E"/>
    <w:rsid w:val="00AF2791"/>
    <w:rsid w:val="00AF5EFB"/>
    <w:rsid w:val="00B05888"/>
    <w:rsid w:val="00B64580"/>
    <w:rsid w:val="00B724D7"/>
    <w:rsid w:val="00B7270E"/>
    <w:rsid w:val="00BA0570"/>
    <w:rsid w:val="00BA0649"/>
    <w:rsid w:val="00BB59E6"/>
    <w:rsid w:val="00BC4444"/>
    <w:rsid w:val="00BD0478"/>
    <w:rsid w:val="00BD08F5"/>
    <w:rsid w:val="00BE5BB2"/>
    <w:rsid w:val="00BE6CFE"/>
    <w:rsid w:val="00C26B85"/>
    <w:rsid w:val="00C36152"/>
    <w:rsid w:val="00C46535"/>
    <w:rsid w:val="00C503ED"/>
    <w:rsid w:val="00C74AC7"/>
    <w:rsid w:val="00C95B35"/>
    <w:rsid w:val="00CA7551"/>
    <w:rsid w:val="00CC1F7A"/>
    <w:rsid w:val="00CC482E"/>
    <w:rsid w:val="00CD15DD"/>
    <w:rsid w:val="00CD4BDA"/>
    <w:rsid w:val="00CD64F8"/>
    <w:rsid w:val="00CE3706"/>
    <w:rsid w:val="00CE4C9F"/>
    <w:rsid w:val="00CE730F"/>
    <w:rsid w:val="00CF2BC4"/>
    <w:rsid w:val="00CF7959"/>
    <w:rsid w:val="00D0194E"/>
    <w:rsid w:val="00D23C82"/>
    <w:rsid w:val="00D33217"/>
    <w:rsid w:val="00D41CB9"/>
    <w:rsid w:val="00D54E99"/>
    <w:rsid w:val="00D60611"/>
    <w:rsid w:val="00D755EE"/>
    <w:rsid w:val="00D7687B"/>
    <w:rsid w:val="00D857E4"/>
    <w:rsid w:val="00DC12A2"/>
    <w:rsid w:val="00DC24C2"/>
    <w:rsid w:val="00DD5BFB"/>
    <w:rsid w:val="00DD6FA4"/>
    <w:rsid w:val="00E0004D"/>
    <w:rsid w:val="00E04ED4"/>
    <w:rsid w:val="00E127A4"/>
    <w:rsid w:val="00E274AA"/>
    <w:rsid w:val="00E33CBC"/>
    <w:rsid w:val="00E33E9D"/>
    <w:rsid w:val="00E64E12"/>
    <w:rsid w:val="00E658F7"/>
    <w:rsid w:val="00EA2446"/>
    <w:rsid w:val="00ED324E"/>
    <w:rsid w:val="00ED34C9"/>
    <w:rsid w:val="00EE4B26"/>
    <w:rsid w:val="00EF0F7B"/>
    <w:rsid w:val="00EF7936"/>
    <w:rsid w:val="00F0351C"/>
    <w:rsid w:val="00F20DD3"/>
    <w:rsid w:val="00F21F8F"/>
    <w:rsid w:val="00F26D63"/>
    <w:rsid w:val="00F42CD4"/>
    <w:rsid w:val="00F433C5"/>
    <w:rsid w:val="00F45EC4"/>
    <w:rsid w:val="00F640D0"/>
    <w:rsid w:val="00F71C18"/>
    <w:rsid w:val="00F85AEC"/>
    <w:rsid w:val="00FA07F9"/>
    <w:rsid w:val="00FA56A6"/>
    <w:rsid w:val="00FB74B2"/>
    <w:rsid w:val="00FC1083"/>
    <w:rsid w:val="00FC1D88"/>
    <w:rsid w:val="00FC7713"/>
    <w:rsid w:val="00FD33FE"/>
    <w:rsid w:val="00FD6911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docId w15:val="{AA7DA842-937F-41F0-886A-19603012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1">
    <w:name w:val="heading 1"/>
    <w:basedOn w:val="a"/>
    <w:next w:val="a"/>
    <w:link w:val="10"/>
    <w:uiPriority w:val="9"/>
    <w:qFormat/>
    <w:rsid w:val="000D4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E127A4"/>
    <w:pPr>
      <w:ind w:left="720"/>
      <w:contextualSpacing/>
    </w:pPr>
  </w:style>
  <w:style w:type="table" w:styleId="11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a">
    <w:name w:val="FollowedHyperlink"/>
    <w:basedOn w:val="a0"/>
    <w:uiPriority w:val="99"/>
    <w:semiHidden/>
    <w:unhideWhenUsed/>
    <w:rsid w:val="00C74AC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&#1082;/96-&#1074;&#1088;" TargetMode="External"/><Relationship Id="rId13" Type="http://schemas.openxmlformats.org/officeDocument/2006/relationships/hyperlink" Target="https://healthcenter.od.ua/2022/01/28/frustracziya-shho-cze-take-ta-chomu-vynykae-podibne-pochutty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12" Type="http://schemas.openxmlformats.org/officeDocument/2006/relationships/hyperlink" Target="http://w1.c1.rada.gov.ua/pls/zweb2/webproc4_1?pf3511=728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92/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f.gov.ua" TargetMode="External"/><Relationship Id="rId10" Type="http://schemas.openxmlformats.org/officeDocument/2006/relationships/hyperlink" Target="https://zakon.rada.gov.ua/laws/show/500-201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80-19" TargetMode="External"/><Relationship Id="rId14" Type="http://schemas.openxmlformats.org/officeDocument/2006/relationships/hyperlink" Target="https://www.kmu.gov.ua/news/ukrayina-za-dva-roki-pidnyalas-na-32-poziciyi-v-globalnomu-rejtingu-za-indeksom-socialnogo-progresu-minsocpoli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13</cp:revision>
  <dcterms:created xsi:type="dcterms:W3CDTF">2020-09-02T14:51:00Z</dcterms:created>
  <dcterms:modified xsi:type="dcterms:W3CDTF">2023-09-11T11:47:00Z</dcterms:modified>
</cp:coreProperties>
</file>